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b w:val="1"/>
        </w:rPr>
      </w:pPr>
      <w:bookmarkStart w:colFirst="0" w:colLast="0" w:name="_m9cqr2of9buy" w:id="0"/>
      <w:bookmarkEnd w:id="0"/>
      <w:r w:rsidDel="00000000" w:rsidR="00000000" w:rsidRPr="00000000">
        <w:rPr>
          <w:b w:val="1"/>
          <w:rtl w:val="0"/>
        </w:rPr>
        <w:t xml:space="preserve">PERSONAER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På baggrund af testrapport har vi dannet følgende persona:</w:t>
      </w: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Louise på 36 år skal have sin 6 årige datter til at starte i skole. Louise er en meget familie glad mor og elsker at bruge tid med sin mand og datter.  Hun er rigtig glad for at være kreativ og elsker naturen og at male.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Louise frygter, at undervisningen ikke vil leve op til det hun ønsker, så er hun også bange for at hendes datter ikke vil passe ind sammen med de andre i klassen.</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Den skole hun har kiggede på, Næsby Skole, har en meget forvirrende hjemmeside som hun ikke rigtigt kan finde rundt på, som derfor gør at hun ikke kan få svaret på, eller få afklaret de ting hun er nervøs for.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